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附件：</w:t>
      </w:r>
    </w:p>
    <w:p>
      <w:pPr>
        <w:spacing w:line="360" w:lineRule="auto"/>
        <w:jc w:val="center"/>
        <w:rPr>
          <w:rFonts w:ascii="宋体" w:hAnsi="宋体" w:cs="宋体"/>
          <w:b/>
          <w:color w:val="000000"/>
          <w:szCs w:val="21"/>
        </w:rPr>
      </w:pPr>
      <w:r>
        <w:rPr>
          <w:rFonts w:hint="eastAsia" w:ascii="宋体" w:hAnsi="宋体" w:cs="宋体"/>
          <w:b/>
          <w:color w:val="000000"/>
          <w:szCs w:val="21"/>
        </w:rPr>
        <w:t>具体事项及要求</w:t>
      </w:r>
    </w:p>
    <w:tbl>
      <w:tblPr>
        <w:tblStyle w:val="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26</w:t>
            </w:r>
            <w:r>
              <w:rPr>
                <w:rFonts w:hint="eastAsia" w:ascii="宋体" w:hAnsi="宋体" w:cs="宋体"/>
                <w:color w:val="000000"/>
                <w:szCs w:val="21"/>
                <w:highlight w:val="none"/>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2"/>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29</w:t>
            </w:r>
            <w:r>
              <w:rPr>
                <w:rFonts w:hint="eastAsia" w:ascii="宋体" w:hAnsi="宋体" w:cs="宋体"/>
                <w:color w:val="000000"/>
                <w:szCs w:val="21"/>
                <w:highlight w:val="none"/>
              </w:rPr>
              <w:t>日下午1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00</w:t>
            </w:r>
            <w:r>
              <w:rPr>
                <w:rFonts w:hint="eastAsia" w:ascii="宋体" w:hAnsi="宋体" w:cs="宋体"/>
                <w:color w:val="000000"/>
                <w:szCs w:val="21"/>
                <w:highlight w:val="none"/>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vAlign w:val="to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2"/>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4856"/>
    <w:rsid w:val="1B260400"/>
    <w:rsid w:val="22FA4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2022-06-29T04:11:00Z</dcterms:created>
  <dc:creator>Administrator</dc:creator>
  <cp:lastModifiedBy>Administrator</cp:lastModifiedBy>
  <dcterms:modified xsi:type="dcterms:W3CDTF">2022-08-23T08:31:35Z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